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150" w:line="360" w:lineRule="auto"/>
        <w:jc w:val="center"/>
        <w:rPr>
          <w:rFonts w:ascii="Times New Roman" w:hAnsi="Times New Roman" w:eastAsia="Times New Roman" w:cs="Times New Roman"/>
          <w:b/>
          <w:bCs/>
          <w:sz w:val="24"/>
          <w:szCs w:val="24"/>
          <w:lang w:eastAsia="tr-TR"/>
        </w:rPr>
      </w:pPr>
    </w:p>
    <w:p>
      <w:pPr>
        <w:shd w:val="clear" w:color="auto" w:fill="FFFFFF"/>
        <w:spacing w:after="150" w:line="360" w:lineRule="auto"/>
        <w:jc w:val="center"/>
        <w:rPr>
          <w:rFonts w:ascii="Times New Roman" w:hAnsi="Times New Roman" w:eastAsia="Times New Roman" w:cs="Times New Roman"/>
          <w:sz w:val="24"/>
          <w:szCs w:val="24"/>
          <w:lang w:eastAsia="tr-TR"/>
        </w:rPr>
      </w:pPr>
      <w:r>
        <w:rPr>
          <w:rFonts w:ascii="Times New Roman" w:hAnsi="Times New Roman" w:eastAsia="Times New Roman" w:cs="Times New Roman"/>
          <w:b/>
          <w:bCs/>
          <w:sz w:val="24"/>
          <w:szCs w:val="24"/>
          <w:lang w:eastAsia="tr-TR"/>
        </w:rPr>
        <w:t>GÜMÜŞHANE ÜNİVERSİTESİ ERASMUS KURUM KOORDİNATÖRLÜĞÜ</w:t>
      </w:r>
    </w:p>
    <w:p>
      <w:pPr>
        <w:shd w:val="clear" w:color="auto" w:fill="FFFFFF"/>
        <w:spacing w:before="150" w:after="150" w:line="360" w:lineRule="auto"/>
        <w:jc w:val="center"/>
        <w:outlineLvl w:val="0"/>
        <w:rPr>
          <w:rFonts w:ascii="Times New Roman" w:hAnsi="Times New Roman" w:eastAsia="Times New Roman" w:cs="Times New Roman"/>
          <w:b/>
          <w:bCs/>
          <w:kern w:val="36"/>
          <w:sz w:val="24"/>
          <w:szCs w:val="24"/>
          <w:lang w:eastAsia="tr-TR"/>
        </w:rPr>
      </w:pPr>
      <w:r>
        <w:rPr>
          <w:rFonts w:ascii="Times New Roman" w:hAnsi="Times New Roman" w:eastAsia="Times New Roman" w:cs="Times New Roman"/>
          <w:b/>
          <w:bCs/>
          <w:kern w:val="36"/>
          <w:sz w:val="24"/>
          <w:szCs w:val="24"/>
          <w:lang w:eastAsia="tr-TR"/>
        </w:rPr>
        <w:t xml:space="preserve">2019-2020 </w:t>
      </w:r>
      <w:r>
        <w:rPr>
          <w:rFonts w:ascii="Times New Roman" w:hAnsi="Times New Roman" w:eastAsia="Times New Roman" w:cs="Times New Roman"/>
          <w:b/>
          <w:bCs/>
          <w:sz w:val="24"/>
          <w:szCs w:val="24"/>
          <w:lang w:eastAsia="tr-TR"/>
        </w:rPr>
        <w:t xml:space="preserve">(2019 yılı sözleşmesi) </w:t>
      </w:r>
      <w:r>
        <w:rPr>
          <w:rFonts w:ascii="Times New Roman" w:hAnsi="Times New Roman" w:eastAsia="Times New Roman" w:cs="Times New Roman"/>
          <w:b/>
          <w:bCs/>
          <w:kern w:val="36"/>
          <w:sz w:val="24"/>
          <w:szCs w:val="24"/>
          <w:lang w:eastAsia="tr-TR"/>
        </w:rPr>
        <w:t>Güz Dönemi Erasmus Öğrenci Öğrenim ve Staj Hareketliliği İlan Metni</w:t>
      </w:r>
    </w:p>
    <w:p>
      <w:pPr>
        <w:shd w:val="clear" w:color="auto" w:fill="FFFFFF"/>
        <w:spacing w:after="150" w:line="360" w:lineRule="auto"/>
        <w:ind w:left="75"/>
        <w:jc w:val="both"/>
        <w:rPr>
          <w:rFonts w:ascii="Times New Roman" w:hAnsi="Times New Roman" w:eastAsia="Times New Roman" w:cs="Times New Roman"/>
          <w:sz w:val="24"/>
          <w:szCs w:val="24"/>
          <w:lang w:eastAsia="tr-TR"/>
        </w:rPr>
      </w:pPr>
      <w:r>
        <w:rPr>
          <w:rFonts w:ascii="Times New Roman" w:hAnsi="Times New Roman" w:eastAsia="Times New Roman" w:cs="Times New Roman"/>
          <w:b/>
          <w:bCs/>
          <w:sz w:val="24"/>
          <w:szCs w:val="24"/>
          <w:lang w:eastAsia="tr-TR"/>
        </w:rPr>
        <w:t>Başvuru Koşulları</w:t>
      </w:r>
    </w:p>
    <w:p>
      <w:pPr>
        <w:pStyle w:val="17"/>
        <w:numPr>
          <w:ilvl w:val="0"/>
          <w:numId w:val="1"/>
        </w:numPr>
        <w:shd w:val="clear" w:color="auto" w:fill="FFFFFF"/>
        <w:spacing w:after="150" w:line="360" w:lineRule="auto"/>
        <w:jc w:val="both"/>
        <w:rPr>
          <w:rFonts w:ascii="Times New Roman" w:hAnsi="Times New Roman" w:eastAsia="Times New Roman" w:cs="Times New Roman"/>
          <w:color w:val="000000" w:themeColor="text1"/>
          <w:sz w:val="24"/>
          <w:szCs w:val="24"/>
          <w:lang w:eastAsia="tr-TR"/>
          <w14:textFill>
            <w14:solidFill>
              <w14:schemeClr w14:val="tx1"/>
            </w14:solidFill>
          </w14:textFill>
        </w:rPr>
      </w:pPr>
      <w:r>
        <w:rPr>
          <w:rFonts w:ascii="Times New Roman" w:hAnsi="Times New Roman" w:eastAsia="Times New Roman" w:cs="Times New Roman"/>
          <w:color w:val="000000" w:themeColor="text1"/>
          <w:sz w:val="24"/>
          <w:szCs w:val="24"/>
          <w:lang w:val="en-US" w:eastAsia="tr-TR"/>
          <w14:textFill>
            <w14:solidFill>
              <w14:schemeClr w14:val="tx1"/>
            </w14:solidFill>
          </w14:textFill>
        </w:rPr>
        <w:t>Öğrenim hareketliliği b</w:t>
      </w:r>
      <w:r>
        <w:rPr>
          <w:rFonts w:ascii="Times New Roman" w:hAnsi="Times New Roman" w:eastAsia="Times New Roman" w:cs="Times New Roman"/>
          <w:color w:val="000000" w:themeColor="text1"/>
          <w:sz w:val="24"/>
          <w:szCs w:val="24"/>
          <w:lang w:eastAsia="tr-TR"/>
          <w14:textFill>
            <w14:solidFill>
              <w14:schemeClr w14:val="tx1"/>
            </w14:solidFill>
          </w14:textFill>
        </w:rPr>
        <w:t>aşvuru</w:t>
      </w:r>
      <w:r>
        <w:rPr>
          <w:rFonts w:ascii="Times New Roman" w:hAnsi="Times New Roman" w:eastAsia="Times New Roman" w:cs="Times New Roman"/>
          <w:color w:val="000000" w:themeColor="text1"/>
          <w:sz w:val="24"/>
          <w:szCs w:val="24"/>
          <w:lang w:val="en-US" w:eastAsia="tr-TR"/>
          <w14:textFill>
            <w14:solidFill>
              <w14:schemeClr w14:val="tx1"/>
            </w14:solidFill>
          </w14:textFill>
        </w:rPr>
        <w:t>su</w:t>
      </w:r>
      <w:r>
        <w:rPr>
          <w:rFonts w:ascii="Times New Roman" w:hAnsi="Times New Roman" w:eastAsia="Times New Roman" w:cs="Times New Roman"/>
          <w:color w:val="000000" w:themeColor="text1"/>
          <w:sz w:val="24"/>
          <w:szCs w:val="24"/>
          <w:lang w:eastAsia="tr-TR"/>
          <w14:textFill>
            <w14:solidFill>
              <w14:schemeClr w14:val="tx1"/>
            </w14:solidFill>
          </w14:textFill>
        </w:rPr>
        <w:t xml:space="preserve"> yapabilmek için bölümünüze ait ikili anlaşma bulunup bulunmadığını</w:t>
      </w:r>
      <w:r>
        <w:rPr>
          <w:rFonts w:ascii="Times New Roman" w:hAnsi="Times New Roman" w:eastAsia="Times New Roman" w:cs="Times New Roman"/>
          <w:color w:val="000000" w:themeColor="text1"/>
          <w:sz w:val="24"/>
          <w:szCs w:val="24"/>
          <w:lang w:val="en-US" w:eastAsia="tr-TR"/>
          <w14:textFill>
            <w14:solidFill>
              <w14:schemeClr w14:val="tx1"/>
            </w14:solidFill>
          </w14:textFill>
        </w:rPr>
        <w:t xml:space="preserve"> k</w:t>
      </w:r>
      <w:r>
        <w:rPr>
          <w:rFonts w:ascii="Times New Roman" w:hAnsi="Times New Roman" w:eastAsia="Times New Roman" w:cs="Times New Roman"/>
          <w:color w:val="000000" w:themeColor="text1"/>
          <w:sz w:val="24"/>
          <w:szCs w:val="24"/>
          <w:lang w:eastAsia="tr-TR"/>
          <w14:textFill>
            <w14:solidFill>
              <w14:schemeClr w14:val="tx1"/>
            </w14:solidFill>
          </w14:textFill>
        </w:rPr>
        <w:t xml:space="preserve">ontrol ediniz. </w:t>
      </w:r>
      <w:bookmarkStart w:id="0" w:name="_GoBack"/>
      <w:bookmarkEnd w:id="0"/>
    </w:p>
    <w:p>
      <w:pPr>
        <w:pStyle w:val="17"/>
        <w:numPr>
          <w:ilvl w:val="0"/>
          <w:numId w:val="1"/>
        </w:numPr>
        <w:shd w:val="clear" w:color="auto" w:fill="FFFFFF"/>
        <w:spacing w:after="150" w:line="360" w:lineRule="auto"/>
        <w:jc w:val="both"/>
        <w:rPr>
          <w:rFonts w:ascii="Times New Roman" w:hAnsi="Times New Roman" w:eastAsia="Times New Roman" w:cs="Times New Roman"/>
          <w:color w:val="000000" w:themeColor="text1"/>
          <w:sz w:val="24"/>
          <w:szCs w:val="24"/>
          <w:lang w:eastAsia="tr-TR"/>
          <w14:textFill>
            <w14:solidFill>
              <w14:schemeClr w14:val="tx1"/>
            </w14:solidFill>
          </w14:textFill>
        </w:rPr>
      </w:pPr>
      <w:r>
        <w:rPr>
          <w:rFonts w:ascii="Times New Roman" w:hAnsi="Times New Roman" w:eastAsia="Times New Roman" w:cs="Times New Roman"/>
          <w:color w:val="000000" w:themeColor="text1"/>
          <w:sz w:val="24"/>
          <w:szCs w:val="24"/>
          <w:lang w:val="en-US" w:eastAsia="tr-TR"/>
          <w14:textFill>
            <w14:solidFill>
              <w14:schemeClr w14:val="tx1"/>
            </w14:solidFill>
          </w14:textFill>
        </w:rPr>
        <w:t>Staj Hareketliliğine başvuru için</w:t>
      </w:r>
      <w:r>
        <w:rPr>
          <w:rFonts w:ascii="Times New Roman" w:hAnsi="Times New Roman" w:eastAsia="Times New Roman" w:cs="Times New Roman"/>
          <w:color w:val="000000" w:themeColor="text1"/>
          <w:sz w:val="24"/>
          <w:szCs w:val="24"/>
          <w:u w:val="single"/>
          <w:lang w:val="en-US" w:eastAsia="tr-TR"/>
          <w14:textFill>
            <w14:solidFill>
              <w14:schemeClr w14:val="tx1"/>
            </w14:solidFill>
          </w14:textFill>
        </w:rPr>
        <w:t xml:space="preserve"> öğrencinin halihazırda staj yerini önceden ayarlamış, resmi kabul yazısını almış ve ofisimize teslim edip olur almış olması gerekmektedir. </w:t>
      </w:r>
    </w:p>
    <w:p>
      <w:pPr>
        <w:pStyle w:val="17"/>
        <w:numPr>
          <w:ilvl w:val="0"/>
          <w:numId w:val="1"/>
        </w:numPr>
        <w:shd w:val="clear" w:color="auto" w:fill="FFFFFF"/>
        <w:spacing w:after="150" w:line="360" w:lineRule="auto"/>
        <w:jc w:val="both"/>
        <w:rPr>
          <w:rFonts w:ascii="Times New Roman" w:hAnsi="Times New Roman" w:eastAsia="Times New Roman" w:cs="Times New Roman"/>
          <w:color w:val="000000" w:themeColor="text1"/>
          <w:sz w:val="24"/>
          <w:szCs w:val="24"/>
          <w:lang w:eastAsia="tr-TR"/>
          <w14:textFill>
            <w14:solidFill>
              <w14:schemeClr w14:val="tx1"/>
            </w14:solidFill>
          </w14:textFill>
        </w:rPr>
      </w:pPr>
      <w:r>
        <w:rPr>
          <w:rFonts w:ascii="Times New Roman" w:hAnsi="Times New Roman" w:eastAsia="Times New Roman" w:cs="Times New Roman"/>
          <w:color w:val="000000" w:themeColor="text1"/>
          <w:sz w:val="24"/>
          <w:szCs w:val="24"/>
          <w:lang w:eastAsia="tr-TR"/>
          <w14:textFill>
            <w14:solidFill>
              <w14:schemeClr w14:val="tx1"/>
            </w14:solidFill>
          </w14:textFill>
        </w:rPr>
        <w:t>Başvuru için Genel Akademik Not Ortalamasının; Lisans öğrencileri için en az 2.20, Yüksek Lisans veya Doktora öğrencileri için ise en az 2,50 olması gerekmektedir.</w:t>
      </w:r>
    </w:p>
    <w:p>
      <w:pPr>
        <w:pStyle w:val="7"/>
        <w:numPr>
          <w:ilvl w:val="0"/>
          <w:numId w:val="1"/>
        </w:numPr>
        <w:shd w:val="clear" w:color="auto" w:fill="FFFFFF"/>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En az bir ders dönemini tamamlamış olmak (Hazırlık Sınıfı öğrencileri başvuruda bulunamaz). </w:t>
      </w:r>
    </w:p>
    <w:p>
      <w:pPr>
        <w:pStyle w:val="7"/>
        <w:numPr>
          <w:ilvl w:val="0"/>
          <w:numId w:val="1"/>
        </w:numPr>
        <w:shd w:val="clear" w:color="auto" w:fill="FFFFFF"/>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Hareketliliğe katılacak öğrencilerin tam zamanlı olması ve eğitim alacağı dönem için Avrupa Kredi Transfer Sistemine göre 30 AKTS (ECTS)’lik ders yükünün olması gerekmektedir.</w:t>
      </w:r>
    </w:p>
    <w:p>
      <w:pPr>
        <w:pStyle w:val="17"/>
        <w:numPr>
          <w:ilvl w:val="0"/>
          <w:numId w:val="1"/>
        </w:numPr>
        <w:shd w:val="clear" w:color="auto" w:fill="FFFFFF"/>
        <w:spacing w:after="150" w:line="360" w:lineRule="auto"/>
        <w:jc w:val="both"/>
        <w:rPr>
          <w:rFonts w:ascii="Times New Roman" w:hAnsi="Times New Roman" w:eastAsia="Times New Roman" w:cs="Times New Roman"/>
          <w:color w:val="000000" w:themeColor="text1"/>
          <w:sz w:val="24"/>
          <w:szCs w:val="24"/>
          <w:lang w:eastAsia="tr-TR"/>
          <w14:textFill>
            <w14:solidFill>
              <w14:schemeClr w14:val="tx1"/>
            </w14:solidFill>
          </w14:textFill>
        </w:rPr>
      </w:pPr>
      <w:r>
        <w:rPr>
          <w:rFonts w:ascii="Times New Roman" w:hAnsi="Times New Roman" w:eastAsia="Times New Roman" w:cs="Times New Roman"/>
          <w:color w:val="000000" w:themeColor="text1"/>
          <w:sz w:val="24"/>
          <w:szCs w:val="24"/>
          <w:lang w:eastAsia="tr-TR"/>
          <w14:textFill>
            <w14:solidFill>
              <w14:schemeClr w14:val="tx1"/>
            </w14:solidFill>
          </w14:textFill>
        </w:rPr>
        <w:t>Başvuru yapan öğrenciler, Gümüşhane Üniversitesi Yabancı Diller Bölümü tarafından hazırlanan yabancı dil sınavına girmek zorundadır</w:t>
      </w:r>
      <w:r>
        <w:rPr>
          <w:rFonts w:ascii="Times New Roman" w:hAnsi="Times New Roman" w:eastAsia="Times New Roman" w:cs="Times New Roman"/>
          <w:b/>
          <w:color w:val="000000" w:themeColor="text1"/>
          <w:sz w:val="24"/>
          <w:szCs w:val="24"/>
          <w:lang w:eastAsia="tr-TR"/>
          <w14:textFill>
            <w14:solidFill>
              <w14:schemeClr w14:val="tx1"/>
            </w14:solidFill>
          </w14:textFill>
        </w:rPr>
        <w:t>.</w:t>
      </w:r>
      <w:r>
        <w:rPr>
          <w:rFonts w:ascii="Times New Roman" w:hAnsi="Times New Roman" w:eastAsia="Times New Roman" w:cs="Times New Roman"/>
          <w:color w:val="000000" w:themeColor="text1"/>
          <w:sz w:val="24"/>
          <w:szCs w:val="24"/>
          <w:lang w:eastAsia="tr-TR"/>
          <w14:textFill>
            <w14:solidFill>
              <w14:schemeClr w14:val="tx1"/>
            </w14:solidFill>
          </w14:textFill>
        </w:rPr>
        <w:t xml:space="preserve"> Sınavın tekrarı ve telafisi yapılmayacaktır. Sınav yazılı ve sözlü olmak üzere uygulanacaktır. YDS ve dengi sınav sonucu olanlar, sonuç belgeleri ile başvuru yapabilirler. </w:t>
      </w:r>
    </w:p>
    <w:p>
      <w:pPr>
        <w:shd w:val="clear" w:color="auto" w:fill="FFFFFF"/>
        <w:spacing w:after="150" w:line="36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b/>
          <w:bCs/>
          <w:sz w:val="24"/>
          <w:szCs w:val="24"/>
          <w:lang w:eastAsia="tr-TR"/>
        </w:rPr>
        <w:t>Başvuru için Gerekli Belgeler</w:t>
      </w:r>
    </w:p>
    <w:p>
      <w:pPr>
        <w:pStyle w:val="17"/>
        <w:numPr>
          <w:ilvl w:val="0"/>
          <w:numId w:val="2"/>
        </w:numPr>
        <w:shd w:val="clear" w:color="auto" w:fill="FFFFFF"/>
        <w:spacing w:after="150" w:line="36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bCs/>
          <w:sz w:val="24"/>
          <w:szCs w:val="24"/>
          <w:lang w:eastAsia="tr-TR"/>
        </w:rPr>
        <w:t>Erasmus Öğreni</w:t>
      </w:r>
      <w:r>
        <w:rPr>
          <w:rFonts w:ascii="Times New Roman" w:hAnsi="Times New Roman" w:eastAsia="Times New Roman" w:cs="Times New Roman"/>
          <w:bCs/>
          <w:sz w:val="24"/>
          <w:szCs w:val="24"/>
          <w:lang w:val="en-US" w:eastAsia="tr-TR"/>
        </w:rPr>
        <w:t>m/staj</w:t>
      </w:r>
      <w:r>
        <w:rPr>
          <w:rFonts w:ascii="Times New Roman" w:hAnsi="Times New Roman" w:eastAsia="Times New Roman" w:cs="Times New Roman"/>
          <w:bCs/>
          <w:sz w:val="24"/>
          <w:szCs w:val="24"/>
          <w:lang w:eastAsia="tr-TR"/>
        </w:rPr>
        <w:t xml:space="preserve"> Hareketliliği</w:t>
      </w:r>
      <w:r>
        <w:rPr>
          <w:rFonts w:ascii="Times New Roman" w:hAnsi="Times New Roman" w:eastAsia="Times New Roman" w:cs="Times New Roman"/>
          <w:sz w:val="24"/>
          <w:szCs w:val="24"/>
          <w:lang w:eastAsia="tr-TR"/>
        </w:rPr>
        <w:t> </w:t>
      </w:r>
      <w:r>
        <w:rPr>
          <w:rFonts w:ascii="Times New Roman" w:hAnsi="Times New Roman" w:eastAsia="Times New Roman" w:cs="Times New Roman"/>
          <w:bCs/>
          <w:sz w:val="24"/>
          <w:szCs w:val="24"/>
          <w:lang w:eastAsia="tr-TR"/>
        </w:rPr>
        <w:t xml:space="preserve">Başvuru Formu (Erasmus- Öğrenim Hareketliliği- Gerekli Belgeler kısmından indirilecek ve </w:t>
      </w:r>
      <w:r>
        <w:rPr>
          <w:rFonts w:ascii="Times New Roman" w:hAnsi="Times New Roman" w:eastAsia="Times New Roman" w:cs="Times New Roman"/>
          <w:bCs/>
          <w:sz w:val="24"/>
          <w:szCs w:val="24"/>
          <w:u w:val="single"/>
          <w:lang w:eastAsia="tr-TR"/>
        </w:rPr>
        <w:t>bilgisayar ortamında doldurulacaktır</w:t>
      </w:r>
      <w:r>
        <w:rPr>
          <w:rFonts w:ascii="Times New Roman" w:hAnsi="Times New Roman" w:eastAsia="Times New Roman" w:cs="Times New Roman"/>
          <w:bCs/>
          <w:sz w:val="24"/>
          <w:szCs w:val="24"/>
          <w:lang w:eastAsia="tr-TR"/>
        </w:rPr>
        <w:t>.)</w:t>
      </w:r>
    </w:p>
    <w:p>
      <w:pPr>
        <w:pStyle w:val="17"/>
        <w:numPr>
          <w:ilvl w:val="0"/>
          <w:numId w:val="2"/>
        </w:numPr>
        <w:shd w:val="clear" w:color="auto" w:fill="FFFFFF"/>
        <w:spacing w:after="150" w:line="360" w:lineRule="auto"/>
        <w:jc w:val="both"/>
        <w:rPr>
          <w:rFonts w:ascii="Times New Roman" w:hAnsi="Times New Roman" w:eastAsia="Times New Roman" w:cs="Times New Roman"/>
          <w:bCs/>
          <w:sz w:val="24"/>
          <w:szCs w:val="24"/>
          <w:lang w:eastAsia="tr-TR"/>
        </w:rPr>
      </w:pPr>
      <w:r>
        <w:rPr>
          <w:rFonts w:ascii="Times New Roman" w:hAnsi="Times New Roman" w:eastAsia="Times New Roman" w:cs="Times New Roman"/>
          <w:bCs/>
          <w:sz w:val="24"/>
          <w:szCs w:val="24"/>
          <w:lang w:eastAsia="tr-TR"/>
        </w:rPr>
        <w:t>Onaylı Transkript Belgesi</w:t>
      </w:r>
    </w:p>
    <w:p>
      <w:pPr>
        <w:pStyle w:val="17"/>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Nüfus Cüzdan Fotokopisi</w:t>
      </w:r>
      <w:r>
        <w:rPr>
          <w:rFonts w:ascii="Times New Roman" w:hAnsi="Times New Roman" w:eastAsia="Times New Roman" w:cs="Times New Roman"/>
          <w:sz w:val="24"/>
          <w:szCs w:val="24"/>
          <w:lang w:eastAsia="tr-TR"/>
        </w:rPr>
        <w:t> </w:t>
      </w:r>
    </w:p>
    <w:p>
      <w:pPr>
        <w:pStyle w:val="17"/>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Öğrenci Belgesi</w:t>
      </w: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Başvuru Takvimi</w:t>
      </w:r>
    </w:p>
    <w:p>
      <w:pPr>
        <w:spacing w:after="150" w:line="360" w:lineRule="auto"/>
        <w:jc w:val="both"/>
        <w:rPr>
          <w:rFonts w:ascii="Times New Roman" w:hAnsi="Times New Roman" w:eastAsia="Times New Roman" w:cs="Times New Roman"/>
          <w:bCs/>
          <w:sz w:val="24"/>
          <w:szCs w:val="24"/>
          <w:lang w:eastAsia="tr-TR"/>
        </w:rPr>
      </w:pPr>
      <w:r>
        <w:rPr>
          <w:rFonts w:ascii="Times New Roman" w:hAnsi="Times New Roman" w:eastAsia="Times New Roman" w:cs="Times New Roman"/>
          <w:bCs/>
          <w:sz w:val="24"/>
          <w:szCs w:val="24"/>
          <w:lang w:eastAsia="tr-TR"/>
        </w:rPr>
        <w:t>Yukarıda belirtilen belgeler</w:t>
      </w:r>
      <w:r>
        <w:rPr>
          <w:rFonts w:ascii="Times New Roman" w:hAnsi="Times New Roman" w:eastAsia="Times New Roman" w:cs="Times New Roman"/>
          <w:bCs/>
          <w:sz w:val="24"/>
          <w:szCs w:val="24"/>
          <w:u w:val="single"/>
          <w:lang w:eastAsia="tr-TR"/>
        </w:rPr>
        <w:t xml:space="preserve"> </w:t>
      </w:r>
      <w:r>
        <w:rPr>
          <w:rFonts w:ascii="Times New Roman" w:hAnsi="Times New Roman" w:eastAsia="Times New Roman" w:cs="Times New Roman"/>
          <w:b/>
          <w:bCs w:val="0"/>
          <w:sz w:val="24"/>
          <w:szCs w:val="24"/>
          <w:u w:val="single"/>
          <w:lang w:eastAsia="tr-TR"/>
        </w:rPr>
        <w:t>05/02/2019 ile 26/02/2019</w:t>
      </w:r>
      <w:r>
        <w:rPr>
          <w:rFonts w:ascii="Times New Roman" w:hAnsi="Times New Roman" w:eastAsia="Times New Roman" w:cs="Times New Roman"/>
          <w:b/>
          <w:bCs/>
          <w:color w:val="FF0000"/>
          <w:sz w:val="24"/>
          <w:szCs w:val="24"/>
          <w:u w:val="single"/>
          <w:lang w:eastAsia="tr-TR"/>
        </w:rPr>
        <w:t xml:space="preserve"> </w:t>
      </w:r>
      <w:r>
        <w:rPr>
          <w:rFonts w:ascii="Times New Roman" w:hAnsi="Times New Roman" w:eastAsia="Times New Roman" w:cs="Times New Roman"/>
          <w:b w:val="0"/>
          <w:bCs w:val="0"/>
          <w:sz w:val="24"/>
          <w:szCs w:val="24"/>
          <w:lang w:eastAsia="tr-TR"/>
        </w:rPr>
        <w:t>tarihleri arasında</w:t>
      </w:r>
      <w:r>
        <w:rPr>
          <w:rFonts w:ascii="Times New Roman" w:hAnsi="Times New Roman" w:eastAsia="Times New Roman" w:cs="Times New Roman"/>
          <w:b/>
          <w:bCs/>
          <w:sz w:val="24"/>
          <w:szCs w:val="24"/>
          <w:u w:val="single"/>
          <w:lang w:eastAsia="tr-TR"/>
        </w:rPr>
        <w:t xml:space="preserve"> </w:t>
      </w:r>
      <w:r>
        <w:rPr>
          <w:rFonts w:ascii="Times New Roman" w:hAnsi="Times New Roman" w:eastAsia="Times New Roman" w:cs="Times New Roman"/>
          <w:bCs/>
          <w:sz w:val="24"/>
          <w:szCs w:val="24"/>
          <w:lang w:eastAsia="tr-TR"/>
        </w:rPr>
        <w:t xml:space="preserve">Erasmus Kurum Koordinatörlüğü’ne elden teslim edilmelidir. </w:t>
      </w:r>
    </w:p>
    <w:p>
      <w:pPr>
        <w:spacing w:after="150" w:line="360" w:lineRule="auto"/>
        <w:jc w:val="both"/>
        <w:rPr>
          <w:rFonts w:ascii="Times New Roman" w:hAnsi="Times New Roman" w:eastAsia="Times New Roman" w:cs="Times New Roman"/>
          <w:b/>
          <w:bCs/>
          <w:i/>
          <w:sz w:val="24"/>
          <w:szCs w:val="24"/>
          <w:u w:val="single"/>
          <w:lang w:eastAsia="tr-TR"/>
        </w:rPr>
      </w:pPr>
      <w:r>
        <w:rPr>
          <w:rFonts w:ascii="Times New Roman" w:hAnsi="Times New Roman" w:eastAsia="Times New Roman" w:cs="Times New Roman"/>
          <w:b w:val="0"/>
          <w:bCs w:val="0"/>
          <w:i w:val="0"/>
          <w:iCs/>
          <w:sz w:val="24"/>
          <w:szCs w:val="24"/>
          <w:u w:val="none"/>
          <w:lang w:eastAsia="tr-TR"/>
        </w:rPr>
        <w:t>Yabancı Dil Sınavı Tarihi:</w:t>
      </w:r>
      <w:r>
        <w:rPr>
          <w:rFonts w:ascii="Times New Roman" w:hAnsi="Times New Roman" w:eastAsia="Times New Roman" w:cs="Times New Roman"/>
          <w:b w:val="0"/>
          <w:bCs w:val="0"/>
          <w:i w:val="0"/>
          <w:iCs/>
          <w:sz w:val="28"/>
          <w:szCs w:val="28"/>
          <w:u w:val="none"/>
          <w:lang w:eastAsia="tr-TR"/>
        </w:rPr>
        <w:t xml:space="preserve"> </w:t>
      </w:r>
      <w:r>
        <w:rPr>
          <w:rFonts w:ascii="Times New Roman" w:hAnsi="Times New Roman" w:eastAsia="Times New Roman" w:cs="Times New Roman"/>
          <w:b/>
          <w:bCs/>
          <w:i w:val="0"/>
          <w:iCs/>
          <w:sz w:val="28"/>
          <w:szCs w:val="28"/>
          <w:u w:val="single"/>
          <w:lang w:eastAsia="tr-TR"/>
        </w:rPr>
        <w:t>28/02/2019</w:t>
      </w:r>
      <w:r>
        <w:rPr>
          <w:rFonts w:ascii="Times New Roman" w:hAnsi="Times New Roman" w:eastAsia="Times New Roman" w:cs="Times New Roman"/>
          <w:b w:val="0"/>
          <w:bCs w:val="0"/>
          <w:i w:val="0"/>
          <w:iCs/>
          <w:sz w:val="24"/>
          <w:szCs w:val="24"/>
          <w:u w:val="none"/>
          <w:lang w:eastAsia="tr-TR"/>
        </w:rPr>
        <w:t xml:space="preserve"> tarihinde yabancı dil sınavı yapılacak olup sınav yeri ve saatleri duyurulacaktır.</w:t>
      </w:r>
      <w:r>
        <w:rPr>
          <w:rFonts w:ascii="Times New Roman" w:hAnsi="Times New Roman" w:eastAsia="Times New Roman" w:cs="Times New Roman"/>
          <w:b/>
          <w:bCs/>
          <w:i/>
          <w:sz w:val="24"/>
          <w:szCs w:val="24"/>
          <w:u w:val="single"/>
          <w:lang w:eastAsia="tr-TR"/>
        </w:rPr>
        <w:t xml:space="preserve"> </w:t>
      </w:r>
      <w:r>
        <w:rPr>
          <w:rFonts w:ascii="Times New Roman" w:hAnsi="Times New Roman" w:eastAsia="Times New Roman" w:cs="Times New Roman"/>
          <w:b/>
          <w:bCs/>
          <w:i/>
          <w:sz w:val="24"/>
          <w:szCs w:val="24"/>
          <w:u w:val="single"/>
          <w:lang w:val="en-US" w:eastAsia="tr-TR"/>
        </w:rPr>
        <w:t xml:space="preserve">Dış İlişkiler ve Erasmus sayfalarında </w:t>
      </w:r>
      <w:r>
        <w:rPr>
          <w:rFonts w:ascii="Times New Roman" w:hAnsi="Times New Roman" w:eastAsia="Times New Roman" w:cs="Times New Roman"/>
          <w:b/>
          <w:bCs/>
          <w:i/>
          <w:sz w:val="24"/>
          <w:szCs w:val="24"/>
          <w:u w:val="single"/>
          <w:lang w:eastAsia="tr-TR"/>
        </w:rPr>
        <w:t>Duyurular bölümün</w:t>
      </w:r>
      <w:r>
        <w:rPr>
          <w:rFonts w:ascii="Times New Roman" w:hAnsi="Times New Roman" w:eastAsia="Times New Roman" w:cs="Times New Roman"/>
          <w:b/>
          <w:bCs/>
          <w:i/>
          <w:sz w:val="24"/>
          <w:szCs w:val="24"/>
          <w:u w:val="single"/>
          <w:lang w:val="en-US" w:eastAsia="tr-TR"/>
        </w:rPr>
        <w:t xml:space="preserve">ü </w:t>
      </w:r>
      <w:r>
        <w:rPr>
          <w:rFonts w:ascii="Times New Roman" w:hAnsi="Times New Roman" w:eastAsia="Times New Roman" w:cs="Times New Roman"/>
          <w:b/>
          <w:bCs/>
          <w:i/>
          <w:sz w:val="24"/>
          <w:szCs w:val="24"/>
          <w:u w:val="single"/>
          <w:lang w:eastAsia="tr-TR"/>
        </w:rPr>
        <w:t>takip ediniz.</w:t>
      </w:r>
    </w:p>
    <w:p>
      <w:pPr>
        <w:shd w:val="clear" w:color="auto" w:fill="FFFFFF"/>
        <w:spacing w:after="150"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Değerlendirme Kriterleri</w:t>
      </w:r>
    </w:p>
    <w:p>
      <w:pPr>
        <w:shd w:val="clear" w:color="auto" w:fill="FFFFFF"/>
        <w:spacing w:after="150" w:line="360" w:lineRule="auto"/>
        <w:jc w:val="both"/>
        <w:rPr>
          <w:rFonts w:ascii="Times New Roman" w:hAnsi="Times New Roman" w:eastAsia="Times New Roman" w:cs="Times New Roman"/>
          <w:sz w:val="24"/>
          <w:szCs w:val="24"/>
          <w:lang w:eastAsia="tr-TR"/>
        </w:rPr>
      </w:pPr>
      <w:r>
        <w:rPr>
          <w:rFonts w:ascii="Times New Roman" w:hAnsi="Times New Roman" w:cs="Times New Roman"/>
          <w:color w:val="333333"/>
          <w:sz w:val="24"/>
          <w:szCs w:val="24"/>
          <w:shd w:val="clear" w:color="auto" w:fill="FFFFFF"/>
        </w:rPr>
        <w:t xml:space="preserve">Başvuru yapan öğrencilerin Erasmus+ değişim programında değerlendirmeye alınabilmesi için yapılacak İngilizce yabancı dil sınavında </w:t>
      </w:r>
      <w:r>
        <w:rPr>
          <w:rFonts w:ascii="Times New Roman" w:hAnsi="Times New Roman" w:cs="Times New Roman"/>
          <w:color w:val="333333"/>
          <w:sz w:val="24"/>
          <w:szCs w:val="24"/>
          <w:u w:val="single"/>
          <w:shd w:val="clear" w:color="auto" w:fill="FFFFFF"/>
        </w:rPr>
        <w:t>baraj puan</w:t>
      </w:r>
      <w:r>
        <w:rPr>
          <w:rFonts w:ascii="Times New Roman" w:hAnsi="Times New Roman" w:cs="Times New Roman"/>
          <w:color w:val="333333"/>
          <w:sz w:val="24"/>
          <w:szCs w:val="24"/>
          <w:shd w:val="clear" w:color="auto" w:fill="FFFFFF"/>
        </w:rPr>
        <w:t xml:space="preserve"> olan </w:t>
      </w:r>
      <w:r>
        <w:rPr>
          <w:rFonts w:ascii="Times New Roman" w:hAnsi="Times New Roman" w:cs="Times New Roman"/>
          <w:b/>
          <w:color w:val="333333"/>
          <w:sz w:val="24"/>
          <w:szCs w:val="24"/>
          <w:u w:val="single"/>
          <w:shd w:val="clear" w:color="auto" w:fill="FFFFFF"/>
        </w:rPr>
        <w:t>45</w:t>
      </w:r>
      <w:r>
        <w:rPr>
          <w:rFonts w:ascii="Times New Roman" w:hAnsi="Times New Roman" w:cs="Times New Roman"/>
          <w:b/>
          <w:color w:val="333333"/>
          <w:sz w:val="24"/>
          <w:szCs w:val="24"/>
          <w:shd w:val="clear" w:color="auto" w:fill="FFFFFF"/>
        </w:rPr>
        <w:t xml:space="preserve"> </w:t>
      </w:r>
      <w:r>
        <w:rPr>
          <w:rFonts w:ascii="Times New Roman" w:hAnsi="Times New Roman" w:cs="Times New Roman"/>
          <w:color w:val="333333"/>
          <w:sz w:val="24"/>
          <w:szCs w:val="24"/>
          <w:shd w:val="clear" w:color="auto" w:fill="FFFFFF"/>
        </w:rPr>
        <w:t>veya üzerinde bir puan alması gerekir.</w:t>
      </w:r>
    </w:p>
    <w:tbl>
      <w:tblPr>
        <w:tblStyle w:val="14"/>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8"/>
        <w:gridCol w:w="4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4948" w:type="dxa"/>
            <w:tcBorders>
              <w:right w:val="double" w:color="auto" w:sz="2" w:space="0"/>
            </w:tcBorders>
          </w:tcPr>
          <w:p>
            <w:pPr>
              <w:spacing w:after="0" w:line="276" w:lineRule="auto"/>
              <w:jc w:val="center"/>
              <w:outlineLvl w:val="1"/>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Ölçüt</w:t>
            </w:r>
          </w:p>
        </w:tc>
        <w:tc>
          <w:tcPr>
            <w:tcW w:w="4412" w:type="dxa"/>
            <w:tcBorders>
              <w:left w:val="double" w:color="auto" w:sz="2" w:space="0"/>
            </w:tcBorders>
          </w:tcPr>
          <w:p>
            <w:pPr>
              <w:spacing w:after="0" w:line="240" w:lineRule="auto"/>
              <w:jc w:val="center"/>
              <w:outlineLvl w:val="1"/>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Ağırlıklı Puan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4948" w:type="dxa"/>
            <w:tcBorders>
              <w:right w:val="double" w:color="auto" w:sz="2" w:space="0"/>
            </w:tcBorders>
          </w:tcPr>
          <w:p>
            <w:pPr>
              <w:spacing w:after="0" w:line="276" w:lineRule="auto"/>
              <w:outlineLvl w:val="1"/>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Akademik başarı düzeyi</w:t>
            </w:r>
          </w:p>
        </w:tc>
        <w:tc>
          <w:tcPr>
            <w:tcW w:w="4412" w:type="dxa"/>
            <w:tcBorders>
              <w:left w:val="double" w:color="auto" w:sz="2" w:space="0"/>
            </w:tcBorders>
          </w:tcPr>
          <w:p>
            <w:pPr>
              <w:spacing w:after="0" w:line="240" w:lineRule="auto"/>
              <w:jc w:val="center"/>
              <w:outlineLvl w:val="1"/>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%50 (toplam 100 puan üzerinden)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4948" w:type="dxa"/>
            <w:tcBorders>
              <w:right w:val="double" w:color="auto" w:sz="2" w:space="0"/>
            </w:tcBorders>
          </w:tcPr>
          <w:p>
            <w:pPr>
              <w:spacing w:after="0" w:line="276" w:lineRule="auto"/>
              <w:outlineLvl w:val="1"/>
              <w:rPr>
                <w:rFonts w:ascii="Helvetica" w:hAnsi="Helvetica" w:eastAsia="Times New Roman" w:cs="Helvetica"/>
                <w:color w:val="333333"/>
                <w:sz w:val="21"/>
                <w:szCs w:val="21"/>
                <w:shd w:val="clear" w:color="auto" w:fill="FFFFFF"/>
                <w:lang w:eastAsia="tr-TR"/>
              </w:rPr>
            </w:pPr>
            <w:r>
              <w:rPr>
                <w:rFonts w:ascii="Times New Roman" w:hAnsi="Times New Roman" w:eastAsia="Times New Roman" w:cs="Times New Roman"/>
                <w:sz w:val="24"/>
                <w:szCs w:val="24"/>
                <w:lang w:eastAsia="tr-TR"/>
              </w:rPr>
              <w:t xml:space="preserve">Dil seviyesi </w:t>
            </w:r>
          </w:p>
        </w:tc>
        <w:tc>
          <w:tcPr>
            <w:tcW w:w="4412" w:type="dxa"/>
            <w:tcBorders>
              <w:left w:val="double" w:color="auto" w:sz="2" w:space="0"/>
            </w:tcBorders>
            <w:vAlign w:val="center"/>
          </w:tcPr>
          <w:p>
            <w:pPr>
              <w:spacing w:after="0" w:line="276" w:lineRule="auto"/>
              <w:jc w:val="center"/>
              <w:outlineLvl w:val="1"/>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%50 (toplam 100 puan üzerinden)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4948" w:type="dxa"/>
            <w:tcBorders>
              <w:right w:val="double" w:color="auto" w:sz="2" w:space="0"/>
            </w:tcBorders>
          </w:tcPr>
          <w:p>
            <w:pPr>
              <w:spacing w:after="0" w:line="276" w:lineRule="auto"/>
              <w:outlineLvl w:val="1"/>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Şehit ve gazi çocuklarına</w:t>
            </w:r>
          </w:p>
        </w:tc>
        <w:tc>
          <w:tcPr>
            <w:tcW w:w="4412" w:type="dxa"/>
            <w:tcBorders>
              <w:left w:val="double" w:color="auto" w:sz="2" w:space="0"/>
            </w:tcBorders>
          </w:tcPr>
          <w:p>
            <w:pPr>
              <w:spacing w:after="0" w:line="240" w:lineRule="auto"/>
              <w:jc w:val="center"/>
              <w:outlineLvl w:val="1"/>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+15 puan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4948" w:type="dxa"/>
            <w:tcBorders>
              <w:right w:val="double" w:color="auto" w:sz="2" w:space="0"/>
            </w:tcBorders>
          </w:tcPr>
          <w:p>
            <w:pPr>
              <w:spacing w:after="0" w:line="276" w:lineRule="auto"/>
              <w:outlineLvl w:val="1"/>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Engelli öğrencilere (engelliliğin belgelenmesi kaydıyla)</w:t>
            </w:r>
          </w:p>
        </w:tc>
        <w:tc>
          <w:tcPr>
            <w:tcW w:w="4412" w:type="dxa"/>
            <w:tcBorders>
              <w:left w:val="double" w:color="auto" w:sz="2" w:space="0"/>
            </w:tcBorders>
          </w:tcPr>
          <w:p>
            <w:pPr>
              <w:spacing w:after="0" w:line="240" w:lineRule="auto"/>
              <w:jc w:val="center"/>
              <w:outlineLvl w:val="1"/>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 puan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4948" w:type="dxa"/>
            <w:tcBorders>
              <w:right w:val="double" w:color="auto" w:sz="2" w:space="0"/>
            </w:tcBorders>
          </w:tcPr>
          <w:p>
            <w:pPr>
              <w:spacing w:after="0" w:line="276" w:lineRule="auto"/>
              <w:outlineLvl w:val="1"/>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2828 Sayılı Sosyal Hizmetler Kanunu Kapsamında haklarında korunma, bakım veya barınma kararı alınmış öğrencilere</w:t>
            </w:r>
          </w:p>
        </w:tc>
        <w:tc>
          <w:tcPr>
            <w:tcW w:w="4412" w:type="dxa"/>
            <w:tcBorders>
              <w:left w:val="double" w:color="auto" w:sz="2" w:space="0"/>
            </w:tcBorders>
          </w:tcPr>
          <w:p>
            <w:pPr>
              <w:spacing w:after="0" w:line="240" w:lineRule="auto"/>
              <w:jc w:val="center"/>
              <w:rPr>
                <w:rFonts w:ascii="Times New Roman" w:hAnsi="Times New Roman" w:eastAsia="Times New Roman" w:cs="Times New Roman"/>
                <w:sz w:val="24"/>
                <w:szCs w:val="24"/>
                <w:lang w:eastAsia="tr-TR"/>
              </w:rPr>
            </w:pPr>
          </w:p>
          <w:p>
            <w:pPr>
              <w:spacing w:after="0" w:line="240" w:lineRule="auto"/>
              <w:jc w:val="center"/>
              <w:outlineLvl w:val="1"/>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 puan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4948" w:type="dxa"/>
            <w:tcBorders>
              <w:right w:val="double" w:color="auto" w:sz="2" w:space="0"/>
            </w:tcBorders>
          </w:tcPr>
          <w:p>
            <w:pPr>
              <w:spacing w:after="0" w:line="276" w:lineRule="auto"/>
              <w:outlineLvl w:val="1"/>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Daha önce yararlanma (hibeli veya hibesiz)</w:t>
            </w:r>
          </w:p>
        </w:tc>
        <w:tc>
          <w:tcPr>
            <w:tcW w:w="4412" w:type="dxa"/>
            <w:tcBorders>
              <w:left w:val="double" w:color="auto" w:sz="2" w:space="0"/>
            </w:tcBorders>
          </w:tcPr>
          <w:p>
            <w:pPr>
              <w:spacing w:after="0" w:line="240" w:lineRule="auto"/>
              <w:jc w:val="center"/>
              <w:outlineLvl w:val="1"/>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 puan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4948" w:type="dxa"/>
            <w:tcBorders>
              <w:right w:val="double" w:color="auto" w:sz="2" w:space="0"/>
            </w:tcBorders>
          </w:tcPr>
          <w:p>
            <w:pPr>
              <w:spacing w:after="0" w:line="276" w:lineRule="auto"/>
              <w:outlineLvl w:val="1"/>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Vatandaşı olunan ülkede hareketliliğe katılma</w:t>
            </w:r>
          </w:p>
        </w:tc>
        <w:tc>
          <w:tcPr>
            <w:tcW w:w="4412" w:type="dxa"/>
            <w:tcBorders>
              <w:left w:val="double" w:color="auto" w:sz="2" w:space="0"/>
            </w:tcBorders>
          </w:tcPr>
          <w:p>
            <w:pPr>
              <w:spacing w:after="0" w:line="240" w:lineRule="auto"/>
              <w:jc w:val="center"/>
              <w:outlineLvl w:val="1"/>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 puan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4" w:hRule="atLeast"/>
        </w:trPr>
        <w:tc>
          <w:tcPr>
            <w:tcW w:w="4948" w:type="dxa"/>
            <w:tcBorders>
              <w:right w:val="double" w:color="auto" w:sz="2" w:space="0"/>
            </w:tcBorders>
          </w:tcPr>
          <w:p>
            <w:pPr>
              <w:spacing w:after="0" w:line="276" w:lineRule="auto"/>
              <w:outlineLvl w:val="1"/>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Hareketliliğe seçilen öğrenciler için: Yükseköğretim kurumu tarafından hareketlilikle ilgili olarak düzenlenen toplantılara/eğitimlere mazeretsiz katılmama (öğrencinin Erasmus’a tekrar başvurması halinde uygulanır)</w:t>
            </w:r>
          </w:p>
        </w:tc>
        <w:tc>
          <w:tcPr>
            <w:tcW w:w="4412" w:type="dxa"/>
            <w:tcBorders>
              <w:left w:val="double" w:color="auto" w:sz="2" w:space="0"/>
            </w:tcBorders>
          </w:tcPr>
          <w:p>
            <w:pPr>
              <w:spacing w:after="0" w:line="240" w:lineRule="auto"/>
              <w:jc w:val="center"/>
              <w:outlineLvl w:val="1"/>
              <w:rPr>
                <w:rFonts w:ascii="Times New Roman" w:hAnsi="Times New Roman" w:eastAsia="Times New Roman" w:cs="Times New Roman"/>
                <w:sz w:val="24"/>
                <w:szCs w:val="24"/>
                <w:lang w:eastAsia="tr-TR"/>
              </w:rPr>
            </w:pPr>
          </w:p>
          <w:p>
            <w:pPr>
              <w:spacing w:after="0" w:line="240" w:lineRule="auto"/>
              <w:jc w:val="center"/>
              <w:outlineLvl w:val="1"/>
              <w:rPr>
                <w:rFonts w:ascii="Times New Roman" w:hAnsi="Times New Roman" w:eastAsia="Times New Roman" w:cs="Times New Roman"/>
                <w:sz w:val="24"/>
                <w:szCs w:val="24"/>
                <w:lang w:eastAsia="tr-TR"/>
              </w:rPr>
            </w:pPr>
          </w:p>
          <w:p>
            <w:pPr>
              <w:spacing w:after="0" w:line="240" w:lineRule="auto"/>
              <w:jc w:val="center"/>
              <w:outlineLvl w:val="1"/>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 puan</w:t>
            </w:r>
          </w:p>
        </w:tc>
      </w:tr>
    </w:tbl>
    <w:p>
      <w:pPr>
        <w:shd w:val="clear" w:color="auto" w:fill="FFFFFF"/>
        <w:spacing w:after="150" w:line="360" w:lineRule="auto"/>
        <w:jc w:val="both"/>
        <w:rPr>
          <w:rFonts w:ascii="Times New Roman" w:hAnsi="Times New Roman" w:eastAsia="Times New Roman" w:cs="Times New Roman"/>
          <w:sz w:val="24"/>
          <w:szCs w:val="24"/>
          <w:lang w:eastAsia="tr-TR"/>
        </w:rPr>
      </w:pPr>
    </w:p>
    <w:p>
      <w:pPr>
        <w:shd w:val="clear" w:color="auto" w:fill="FFFFFF"/>
        <w:spacing w:after="150" w:line="360" w:lineRule="auto"/>
        <w:jc w:val="both"/>
        <w:rPr>
          <w:rFonts w:ascii="Times New Roman" w:hAnsi="Times New Roman" w:eastAsia="Times New Roman" w:cs="Times New Roman"/>
          <w:sz w:val="24"/>
          <w:szCs w:val="24"/>
          <w:lang w:eastAsia="tr-TR"/>
        </w:rPr>
      </w:pPr>
    </w:p>
    <w:p>
      <w:pPr>
        <w:pStyle w:val="17"/>
        <w:numPr>
          <w:ilvl w:val="0"/>
          <w:numId w:val="3"/>
        </w:numPr>
        <w:shd w:val="clear" w:color="auto" w:fill="FFFFFF"/>
        <w:spacing w:after="150" w:line="480" w:lineRule="auto"/>
        <w:jc w:val="both"/>
        <w:rPr>
          <w:rFonts w:ascii="Times New Roman" w:hAnsi="Times New Roman" w:cs="Times New Roman"/>
          <w:bCs/>
          <w:iCs/>
          <w:sz w:val="24"/>
          <w:szCs w:val="24"/>
        </w:rPr>
      </w:pPr>
      <w:r>
        <w:rPr>
          <w:rFonts w:ascii="Times New Roman" w:hAnsi="Times New Roman" w:cs="Times New Roman"/>
          <w:sz w:val="24"/>
          <w:szCs w:val="24"/>
        </w:rPr>
        <w:t>Kontenjan durumu 16 asil 16 yedek öğrenci olarak belirlenmiştir. Başvurulan ülke /kurum / bölüm ve feragat durumuna göre belirlenen sayı artabilir/ azalabilir.</w:t>
      </w:r>
    </w:p>
    <w:p>
      <w:pPr>
        <w:pStyle w:val="17"/>
        <w:numPr>
          <w:ilvl w:val="0"/>
          <w:numId w:val="4"/>
        </w:numPr>
        <w:shd w:val="clear" w:color="auto" w:fill="FFFFFF"/>
        <w:spacing w:after="150" w:line="480" w:lineRule="auto"/>
        <w:jc w:val="both"/>
        <w:rPr>
          <w:rFonts w:ascii="Times New Roman" w:hAnsi="Times New Roman" w:cs="Times New Roman"/>
          <w:b/>
          <w:bCs/>
          <w:iCs/>
          <w:sz w:val="24"/>
          <w:szCs w:val="24"/>
        </w:rPr>
      </w:pPr>
      <w:r>
        <w:rPr>
          <w:rFonts w:ascii="Times New Roman" w:hAnsi="Times New Roman" w:cs="Times New Roman"/>
          <w:sz w:val="24"/>
          <w:szCs w:val="24"/>
        </w:rPr>
        <w:t>Yükseköğretim kurumu, tahsis edilen hibe miktarının potansiyel yararlanıcıları göndermekte yetersiz kalması durumunda, hibeyi adil olarak; bölüm, gidilen ülke, cinsiyet dengesi gözeterek, daha önce hareketlilik faaliyetinde bulunmamış bölüme pozitif ayrımcılık yaparak, fakülte ve/veya bölümlerin anlaşma sayısı oranını ve fakülte ve/veya bölümlerin performansını dikkate alarak dağıtır.</w:t>
      </w:r>
      <w:r>
        <w:rPr>
          <w:rFonts w:ascii="Times New Roman" w:hAnsi="Times New Roman" w:cs="Times New Roman"/>
          <w:b/>
          <w:sz w:val="24"/>
          <w:szCs w:val="24"/>
        </w:rPr>
        <w:t xml:space="preserve"> </w:t>
      </w:r>
      <w:r>
        <w:rPr>
          <w:rFonts w:ascii="Times New Roman" w:hAnsi="Times New Roman" w:cs="Times New Roman"/>
          <w:sz w:val="24"/>
          <w:szCs w:val="24"/>
        </w:rPr>
        <w:t>Adaylar bu seçim kriterleri esas alınarak belirlenecektir.</w:t>
      </w:r>
    </w:p>
    <w:p>
      <w:pPr>
        <w:pStyle w:val="17"/>
        <w:numPr>
          <w:ilvl w:val="0"/>
          <w:numId w:val="4"/>
        </w:numPr>
        <w:shd w:val="clear" w:color="auto" w:fill="FFFFFF"/>
        <w:spacing w:after="150" w:line="48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Eksik evraklı ve imzasız başvurular geçersiz sayılmaktadır.</w:t>
      </w:r>
    </w:p>
    <w:p>
      <w:pPr>
        <w:pStyle w:val="17"/>
        <w:numPr>
          <w:ilvl w:val="0"/>
          <w:numId w:val="4"/>
        </w:numPr>
        <w:shd w:val="clear" w:color="auto" w:fill="FFFFFF"/>
        <w:spacing w:after="150" w:line="48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Sonuçlar ilan edildikten sonra öğrencilerin sonuçlara itiraz süresi 2 gündür. İtirazlar Erasmus Kurum Koordinatörlüğüne yazılı bir dilekçeyle yapılabilir.</w:t>
      </w:r>
    </w:p>
    <w:p>
      <w:pPr>
        <w:pStyle w:val="17"/>
        <w:numPr>
          <w:ilvl w:val="0"/>
          <w:numId w:val="4"/>
        </w:numPr>
        <w:spacing w:after="150" w:line="48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“…Aynı öğrenim kademesi içerisinde daha önceki bir seçim döneminde seçilmiş, fakat mücbir bir sebebe dayanmaksızın, faaliyetini gerçekleştirmemiş öğrenciler için, hak kazanmış olunmasına rağmen, faaliyetin gerçekleştirilmediği her faaliyet için “-10 puan” azaltma uygulanır. Yükseköğretim kurumunun vazgeçişleri öngörerek öğrencilere vazgeçtiklerini bildirmeleri için bir süre tanımaları ve öğrencilerin bu süre içerisinde vazgeçtiklerini bildirmeleri halinde puan azaltma uygulanmaz.</w:t>
      </w:r>
    </w:p>
    <w:p>
      <w:pPr>
        <w:pStyle w:val="17"/>
        <w:numPr>
          <w:ilvl w:val="0"/>
          <w:numId w:val="4"/>
        </w:numPr>
        <w:spacing w:after="150" w:line="48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Hem öğrenim, hem staj faaliyetine aynı zamanda başvuran bir öğrencinin her iki faaliyete de seçilmiş olması durumunda, “-10 puan” azaltmanın hangi faaliyette uygulanacağı öğrencinin tercihine bırakılır. Bu durumda öğrenciden hangi faaliyette azaltma uygulanmasını tercih ettiğine yönelik bir dilekçe alınır…” (2017 Sözleşme Dönemi Yükseköğretim Kurumları için El Kitabı (KA103), s. 11-12).</w:t>
      </w:r>
    </w:p>
    <w:p>
      <w:pPr>
        <w:shd w:val="clear" w:color="auto" w:fill="FFFFFF"/>
        <w:spacing w:after="150" w:line="360" w:lineRule="auto"/>
        <w:jc w:val="both"/>
        <w:rPr>
          <w:rFonts w:ascii="Times New Roman" w:hAnsi="Times New Roman" w:eastAsia="Times New Roman" w:cs="Times New Roman"/>
          <w:b/>
          <w:bCs/>
          <w:sz w:val="24"/>
          <w:szCs w:val="24"/>
          <w:lang w:eastAsia="tr-TR"/>
        </w:rPr>
      </w:pPr>
    </w:p>
    <w:p>
      <w:pPr>
        <w:shd w:val="clear" w:color="auto" w:fill="FFFFFF"/>
        <w:spacing w:after="150" w:line="360" w:lineRule="auto"/>
        <w:jc w:val="both"/>
        <w:rPr>
          <w:rFonts w:ascii="Times New Roman" w:hAnsi="Times New Roman" w:eastAsia="Times New Roman" w:cs="Times New Roman"/>
          <w:b/>
          <w:bCs/>
          <w:sz w:val="24"/>
          <w:szCs w:val="24"/>
          <w:lang w:eastAsia="tr-TR"/>
        </w:rPr>
      </w:pPr>
    </w:p>
    <w:p>
      <w:pPr>
        <w:shd w:val="clear" w:color="auto" w:fill="FFFFFF"/>
        <w:spacing w:after="150" w:line="36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b/>
          <w:bCs/>
          <w:sz w:val="24"/>
          <w:szCs w:val="24"/>
          <w:lang w:eastAsia="tr-TR"/>
        </w:rPr>
        <w:t>Hibe Miktarları</w:t>
      </w:r>
    </w:p>
    <w:p>
      <w:pPr>
        <w:shd w:val="clear" w:color="auto" w:fill="FFFFFF"/>
        <w:spacing w:after="150" w:line="36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Ülkelere göre aylık hibe miktarları aşağıda belirtilmektedir. Belirtilen miktarlar 2018 sözleşme dönemine ait olup 2019 sözleşmesinde hibe durumlarında değişiklik olması durumunda duyurulacaktır.</w:t>
      </w:r>
    </w:p>
    <w:tbl>
      <w:tblPr>
        <w:tblStyle w:val="13"/>
        <w:tblW w:w="904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1"/>
        <w:gridCol w:w="4140"/>
        <w:gridCol w:w="1417"/>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0" w:hRule="atLeast"/>
        </w:trPr>
        <w:tc>
          <w:tcPr>
            <w:tcW w:w="1961" w:type="dxa"/>
            <w:tcMar>
              <w:top w:w="0" w:type="dxa"/>
              <w:left w:w="108" w:type="dxa"/>
              <w:bottom w:w="0" w:type="dxa"/>
              <w:right w:w="108" w:type="dxa"/>
            </w:tcMar>
            <w:vAlign w:val="center"/>
          </w:tcPr>
          <w:p>
            <w:pPr>
              <w:shd w:val="clear" w:color="auto" w:fill="FFFFFF"/>
              <w:spacing w:after="150"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Ülke Grupları</w:t>
            </w:r>
          </w:p>
        </w:tc>
        <w:tc>
          <w:tcPr>
            <w:tcW w:w="4140" w:type="dxa"/>
            <w:tcMar>
              <w:top w:w="0" w:type="dxa"/>
              <w:left w:w="108" w:type="dxa"/>
              <w:bottom w:w="0" w:type="dxa"/>
              <w:right w:w="108" w:type="dxa"/>
            </w:tcMar>
            <w:vAlign w:val="center"/>
          </w:tcPr>
          <w:p>
            <w:pPr>
              <w:shd w:val="clear" w:color="auto" w:fill="FFFFFF"/>
              <w:spacing w:after="150"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Hareketlilikte Misafir Olunan Ülkeler</w:t>
            </w:r>
          </w:p>
        </w:tc>
        <w:tc>
          <w:tcPr>
            <w:tcW w:w="1417" w:type="dxa"/>
            <w:tcMar>
              <w:top w:w="0" w:type="dxa"/>
              <w:left w:w="108" w:type="dxa"/>
              <w:bottom w:w="0" w:type="dxa"/>
              <w:right w:w="108" w:type="dxa"/>
            </w:tcMar>
            <w:vAlign w:val="center"/>
          </w:tcPr>
          <w:p>
            <w:pPr>
              <w:shd w:val="clear" w:color="auto" w:fill="FFFFFF"/>
              <w:spacing w:after="150"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Aylık Hibe Öğrenim (Avro)</w:t>
            </w:r>
          </w:p>
        </w:tc>
        <w:tc>
          <w:tcPr>
            <w:tcW w:w="1531" w:type="dxa"/>
            <w:tcMar>
              <w:top w:w="0" w:type="dxa"/>
              <w:left w:w="108" w:type="dxa"/>
              <w:bottom w:w="0" w:type="dxa"/>
              <w:right w:w="108" w:type="dxa"/>
            </w:tcMar>
            <w:vAlign w:val="center"/>
          </w:tcPr>
          <w:p>
            <w:pPr>
              <w:shd w:val="clear" w:color="auto" w:fill="FFFFFF"/>
              <w:spacing w:after="150"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Aylık Hibe</w:t>
            </w:r>
          </w:p>
          <w:p>
            <w:pPr>
              <w:shd w:val="clear" w:color="auto" w:fill="FFFFFF"/>
              <w:spacing w:after="150"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 xml:space="preserve">Staj </w:t>
            </w:r>
          </w:p>
          <w:p>
            <w:pPr>
              <w:shd w:val="clear" w:color="auto" w:fill="FFFFFF"/>
              <w:spacing w:after="150" w:line="360" w:lineRule="auto"/>
              <w:jc w:val="both"/>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(Avro)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5" w:hRule="atLeast"/>
        </w:trPr>
        <w:tc>
          <w:tcPr>
            <w:tcW w:w="1961" w:type="dxa"/>
            <w:tcMar>
              <w:top w:w="0" w:type="dxa"/>
              <w:left w:w="108" w:type="dxa"/>
              <w:bottom w:w="0" w:type="dxa"/>
              <w:right w:w="108" w:type="dxa"/>
            </w:tcMar>
            <w:vAlign w:val="center"/>
          </w:tcPr>
          <w:p>
            <w:pPr>
              <w:shd w:val="clear" w:color="auto" w:fill="FFFFFF"/>
              <w:spacing w:after="150" w:line="36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 ve 2. Grup Program Ülkeleri</w:t>
            </w:r>
          </w:p>
        </w:tc>
        <w:tc>
          <w:tcPr>
            <w:tcW w:w="4140" w:type="dxa"/>
            <w:tcMar>
              <w:top w:w="0" w:type="dxa"/>
              <w:left w:w="108" w:type="dxa"/>
              <w:bottom w:w="0" w:type="dxa"/>
              <w:right w:w="108" w:type="dxa"/>
            </w:tcMar>
            <w:vAlign w:val="center"/>
          </w:tcPr>
          <w:p>
            <w:pPr>
              <w:shd w:val="clear" w:color="auto" w:fill="FFFFFF"/>
              <w:spacing w:after="150" w:line="36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Birleşik Krallık, Danimarka, Finlandiya, İrlanda, İsveç, İzlanda, Lihtenştayn, Lüksemburg, Norveç, Almanya, Avusturya, Belçika, Fransa, Güney Kıbrıs, Hollanda, İspanya, İtalya, Malta, Portekiz, Yunanistan,</w:t>
            </w:r>
          </w:p>
        </w:tc>
        <w:tc>
          <w:tcPr>
            <w:tcW w:w="1417" w:type="dxa"/>
            <w:tcMar>
              <w:top w:w="0" w:type="dxa"/>
              <w:left w:w="108" w:type="dxa"/>
              <w:bottom w:w="0" w:type="dxa"/>
              <w:right w:w="108" w:type="dxa"/>
            </w:tcMar>
            <w:vAlign w:val="center"/>
          </w:tcPr>
          <w:p>
            <w:pPr>
              <w:shd w:val="clear" w:color="auto" w:fill="FFFFFF"/>
              <w:spacing w:after="150" w:line="36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500</w:t>
            </w:r>
          </w:p>
        </w:tc>
        <w:tc>
          <w:tcPr>
            <w:tcW w:w="1531" w:type="dxa"/>
            <w:tcMar>
              <w:top w:w="0" w:type="dxa"/>
              <w:left w:w="108" w:type="dxa"/>
              <w:bottom w:w="0" w:type="dxa"/>
              <w:right w:w="108" w:type="dxa"/>
            </w:tcMar>
            <w:vAlign w:val="center"/>
          </w:tcPr>
          <w:p>
            <w:pPr>
              <w:shd w:val="clear" w:color="auto" w:fill="FFFFFF"/>
              <w:spacing w:after="150" w:line="36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5" w:hRule="atLeast"/>
        </w:trPr>
        <w:tc>
          <w:tcPr>
            <w:tcW w:w="1961" w:type="dxa"/>
            <w:tcMar>
              <w:top w:w="0" w:type="dxa"/>
              <w:left w:w="108" w:type="dxa"/>
              <w:bottom w:w="0" w:type="dxa"/>
              <w:right w:w="108" w:type="dxa"/>
            </w:tcMar>
            <w:vAlign w:val="center"/>
          </w:tcPr>
          <w:p>
            <w:pPr>
              <w:shd w:val="clear" w:color="auto" w:fill="FFFFFF"/>
              <w:spacing w:after="150" w:line="36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3. Grup Program Ülkeleri</w:t>
            </w:r>
          </w:p>
        </w:tc>
        <w:tc>
          <w:tcPr>
            <w:tcW w:w="4140" w:type="dxa"/>
            <w:tcMar>
              <w:top w:w="0" w:type="dxa"/>
              <w:left w:w="108" w:type="dxa"/>
              <w:bottom w:w="0" w:type="dxa"/>
              <w:right w:w="108" w:type="dxa"/>
            </w:tcMar>
            <w:vAlign w:val="center"/>
          </w:tcPr>
          <w:p>
            <w:pPr>
              <w:shd w:val="clear" w:color="auto" w:fill="FFFFFF"/>
              <w:spacing w:after="150" w:line="36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Bulgaristan, Çek Cumhuriyeti, Estonya, Hırvatistan, Letonya, Litvanya, Macaristan, Makedonya, Polonya, Romanya, Slovakya, Slovenya, Türkiye</w:t>
            </w:r>
          </w:p>
        </w:tc>
        <w:tc>
          <w:tcPr>
            <w:tcW w:w="1417" w:type="dxa"/>
            <w:tcMar>
              <w:top w:w="0" w:type="dxa"/>
              <w:left w:w="108" w:type="dxa"/>
              <w:bottom w:w="0" w:type="dxa"/>
              <w:right w:w="108" w:type="dxa"/>
            </w:tcMar>
            <w:vAlign w:val="center"/>
          </w:tcPr>
          <w:p>
            <w:pPr>
              <w:shd w:val="clear" w:color="auto" w:fill="FFFFFF"/>
              <w:spacing w:after="150" w:line="36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300</w:t>
            </w:r>
          </w:p>
        </w:tc>
        <w:tc>
          <w:tcPr>
            <w:tcW w:w="1531" w:type="dxa"/>
            <w:tcMar>
              <w:top w:w="0" w:type="dxa"/>
              <w:left w:w="108" w:type="dxa"/>
              <w:bottom w:w="0" w:type="dxa"/>
              <w:right w:w="108" w:type="dxa"/>
            </w:tcMar>
            <w:vAlign w:val="center"/>
          </w:tcPr>
          <w:p>
            <w:pPr>
              <w:shd w:val="clear" w:color="auto" w:fill="FFFFFF"/>
              <w:spacing w:after="150" w:line="36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400</w:t>
            </w:r>
          </w:p>
        </w:tc>
      </w:tr>
    </w:tbl>
    <w:p>
      <w:pPr>
        <w:shd w:val="clear" w:color="auto" w:fill="FFFFFF"/>
        <w:spacing w:after="150" w:line="360" w:lineRule="auto"/>
        <w:jc w:val="both"/>
        <w:rPr>
          <w:rFonts w:ascii="Times New Roman" w:hAnsi="Times New Roman" w:eastAsia="Times New Roman" w:cs="Times New Roman"/>
          <w:sz w:val="24"/>
          <w:szCs w:val="24"/>
          <w:lang w:eastAsia="tr-TR"/>
        </w:rPr>
      </w:pPr>
    </w:p>
    <w:p>
      <w:pPr>
        <w:shd w:val="clear" w:color="auto" w:fill="FFFFFF"/>
        <w:spacing w:after="150" w:line="36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-Öğrencilere gidiş-dönüş seyahatleri için ayrıca destek verilmemektedir.</w:t>
      </w:r>
    </w:p>
    <w:p>
      <w:pPr>
        <w:shd w:val="clear" w:color="auto" w:fill="FFFFFF"/>
        <w:spacing w:after="150" w:line="36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-İsteyen öğrenciler, hareketliliğe katılmaya hak kazandıktan sonra maddi destekten feragat edebilirler.</w:t>
      </w:r>
    </w:p>
    <w:p>
      <w:pPr>
        <w:shd w:val="clear" w:color="auto" w:fill="FFFFFF"/>
        <w:spacing w:after="150" w:line="360" w:lineRule="auto"/>
        <w:jc w:val="both"/>
        <w:rPr>
          <w:rFonts w:ascii="Times New Roman" w:hAnsi="Times New Roman" w:eastAsia="Times New Roman" w:cs="Times New Roman"/>
          <w:b/>
          <w:bCs/>
          <w:color w:val="FF0000"/>
          <w:sz w:val="24"/>
          <w:szCs w:val="24"/>
          <w:lang w:eastAsia="tr-TR"/>
        </w:rPr>
      </w:pPr>
      <w:r>
        <w:rPr>
          <w:rFonts w:ascii="Times New Roman" w:hAnsi="Times New Roman" w:eastAsia="Times New Roman" w:cs="Times New Roman"/>
          <w:b/>
          <w:bCs/>
          <w:color w:val="FF0000"/>
          <w:sz w:val="24"/>
          <w:szCs w:val="24"/>
          <w:lang w:eastAsia="tr-TR"/>
        </w:rPr>
        <w:t>Önemli Not: İlanda belirtilen tüm detaylar 2018/2019 dönemi sözleşme dönemine aittir. 2019/2020 dönemi El Kitabı henüz yayınlanmadığından ve kontenjanlar netleşmediğinden ilanda belirtilen durumlarda bir değişiklik olması durumunda değişiklik ilan edilecektir ve gerekli düzeltme  Gümüşhane Üniversitesi Erasmus Kurum Koordinatörlüğünce yapılabilecektir.</w:t>
      </w:r>
    </w:p>
    <w:p>
      <w:pPr>
        <w:shd w:val="clear" w:color="auto" w:fill="FFFFFF"/>
        <w:spacing w:after="150" w:line="360" w:lineRule="auto"/>
        <w:rPr>
          <w:rFonts w:ascii="Times New Roman" w:hAnsi="Times New Roman" w:eastAsia="Times New Roman" w:cs="Times New Roman"/>
          <w:b/>
          <w:bCs/>
          <w:sz w:val="24"/>
          <w:szCs w:val="24"/>
          <w:lang w:eastAsia="tr-TR"/>
        </w:rPr>
      </w:pPr>
      <w:r>
        <w:rPr>
          <w:rFonts w:ascii="Times New Roman" w:hAnsi="Times New Roman" w:eastAsia="Times New Roman" w:cs="Times New Roman"/>
          <w:bCs/>
          <w:sz w:val="24"/>
          <w:szCs w:val="24"/>
          <w:lang w:eastAsia="tr-TR"/>
        </w:rPr>
        <w:t>Bilgi almak ve başvuru yapmak için;</w:t>
      </w:r>
      <w:r>
        <w:rPr>
          <w:rFonts w:ascii="Times New Roman" w:hAnsi="Times New Roman" w:eastAsia="Times New Roman" w:cs="Times New Roman"/>
          <w:b/>
          <w:bCs/>
          <w:sz w:val="24"/>
          <w:szCs w:val="24"/>
          <w:lang w:eastAsia="tr-TR"/>
        </w:rPr>
        <w:t xml:space="preserve"> </w:t>
      </w:r>
    </w:p>
    <w:p>
      <w:pPr>
        <w:shd w:val="clear" w:color="auto" w:fill="FFFFFF"/>
        <w:spacing w:after="150" w:line="360" w:lineRule="auto"/>
        <w:rPr>
          <w:rFonts w:ascii="Times New Roman" w:hAnsi="Times New Roman" w:eastAsia="Times New Roman" w:cs="Times New Roman"/>
          <w:bCs/>
          <w:sz w:val="24"/>
          <w:szCs w:val="24"/>
          <w:lang w:eastAsia="tr-TR"/>
        </w:rPr>
      </w:pPr>
      <w:r>
        <w:rPr>
          <w:rFonts w:ascii="Times New Roman" w:hAnsi="Times New Roman" w:eastAsia="Times New Roman" w:cs="Times New Roman"/>
          <w:bCs/>
          <w:sz w:val="24"/>
          <w:szCs w:val="24"/>
          <w:lang w:eastAsia="tr-TR"/>
        </w:rPr>
        <w:t>Erasmus Kurum Koordinatörlüğü, Merkezi Kütüphane Binası 4. Kat</w:t>
      </w:r>
    </w:p>
    <w:p>
      <w:pPr>
        <w:shd w:val="clear" w:color="auto" w:fill="FFFFFF"/>
        <w:spacing w:after="150" w:line="360" w:lineRule="auto"/>
        <w:rPr>
          <w:rFonts w:ascii="Times New Roman" w:hAnsi="Times New Roman" w:eastAsia="Times New Roman" w:cs="Times New Roman"/>
          <w:b/>
          <w:bCs/>
          <w:sz w:val="24"/>
          <w:szCs w:val="24"/>
          <w:lang w:eastAsia="tr-TR"/>
        </w:rPr>
      </w:pPr>
      <w:r>
        <w:rPr>
          <w:rFonts w:ascii="Times New Roman" w:hAnsi="Times New Roman" w:eastAsia="Times New Roman" w:cs="Times New Roman"/>
          <w:bCs/>
          <w:sz w:val="24"/>
          <w:szCs w:val="24"/>
          <w:lang w:eastAsia="tr-TR"/>
        </w:rPr>
        <w:t>erasmus@gumushane.edu.tr</w:t>
      </w:r>
    </w:p>
    <w:sectPr>
      <w:headerReference r:id="rId3" w:type="default"/>
      <w:pgSz w:w="11906" w:h="16838"/>
      <w:pgMar w:top="1560" w:right="1417" w:bottom="1417" w:left="1417" w:header="708" w:footer="708" w:gutter="0"/>
      <w:pgBorders w:offsetFrom="page">
        <w:top w:val="double" w:color="auto" w:sz="2" w:space="24"/>
        <w:left w:val="double" w:color="auto" w:sz="2" w:space="24"/>
        <w:bottom w:val="double" w:color="auto" w:sz="2" w:space="24"/>
        <w:right w:val="double" w:color="auto" w:sz="2"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A2"/>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Courier New">
    <w:panose1 w:val="02070309020205020404"/>
    <w:charset w:val="A2"/>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A2"/>
    <w:family w:val="swiss"/>
    <w:pitch w:val="default"/>
    <w:sig w:usb0="00000000" w:usb1="00000000" w:usb2="00000009" w:usb3="00000000" w:csb0="000001FF" w:csb1="00000000"/>
  </w:font>
  <w:font w:name="Arial">
    <w:panose1 w:val="020B0604020202020204"/>
    <w:charset w:val="A2"/>
    <w:family w:val="swiss"/>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Helvetica" w:hAnsi="Helvetica" w:eastAsia="Times New Roman" w:cs="Times New Roman"/>
        <w:color w:val="333333"/>
        <w:sz w:val="21"/>
        <w:szCs w:val="21"/>
        <w:lang w:val="en-US"/>
      </w:rPr>
      <w:drawing>
        <wp:anchor distT="0" distB="0" distL="114300" distR="114300" simplePos="0" relativeHeight="251659264" behindDoc="0" locked="0" layoutInCell="1" allowOverlap="1">
          <wp:simplePos x="0" y="0"/>
          <wp:positionH relativeFrom="column">
            <wp:posOffset>1672590</wp:posOffset>
          </wp:positionH>
          <wp:positionV relativeFrom="paragraph">
            <wp:posOffset>29210</wp:posOffset>
          </wp:positionV>
          <wp:extent cx="2604770" cy="457200"/>
          <wp:effectExtent l="0" t="0" r="5080" b="0"/>
          <wp:wrapNone/>
          <wp:docPr id="4" name="Resim 4" descr="http://erasmus.klu.edu.tr/dosyalar/birimler/erasmus/dosyalar/resimler/erasmus%2Blogo_mic%28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http://erasmus.klu.edu.tr/dosyalar/birimler/erasmus/dosyalar/resimler/erasmus%2Blogo_mic%287%2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04977" cy="4572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77D6"/>
    <w:multiLevelType w:val="multilevel"/>
    <w:tmpl w:val="0ED077D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3626305"/>
    <w:multiLevelType w:val="multilevel"/>
    <w:tmpl w:val="33626305"/>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4E177DAE"/>
    <w:multiLevelType w:val="multilevel"/>
    <w:tmpl w:val="4E177DA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73439FE"/>
    <w:multiLevelType w:val="multilevel"/>
    <w:tmpl w:val="573439FE"/>
    <w:lvl w:ilvl="0" w:tentative="0">
      <w:start w:val="1"/>
      <w:numFmt w:val="decimal"/>
      <w:lvlText w:val="%1."/>
      <w:lvlJc w:val="left"/>
      <w:pPr>
        <w:ind w:left="720" w:hanging="360"/>
      </w:pPr>
      <w:rPr>
        <w:rFonts w:hint="default"/>
      </w:rPr>
    </w:lvl>
    <w:lvl w:ilvl="1" w:tentative="0">
      <w:start w:val="0"/>
      <w:numFmt w:val="bullet"/>
      <w:lvlText w:val="·"/>
      <w:lvlJc w:val="left"/>
      <w:pPr>
        <w:ind w:left="1635" w:hanging="555"/>
      </w:pPr>
      <w:rPr>
        <w:rFonts w:hint="default" w:ascii="Calibri" w:hAnsi="Calibri" w:eastAsia="Times New Roman" w:cs="Calibr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76"/>
    <w:rsid w:val="00007FE5"/>
    <w:rsid w:val="00034202"/>
    <w:rsid w:val="00036E12"/>
    <w:rsid w:val="00037BC8"/>
    <w:rsid w:val="0007651F"/>
    <w:rsid w:val="00096145"/>
    <w:rsid w:val="000F2F01"/>
    <w:rsid w:val="0014106B"/>
    <w:rsid w:val="001C4BE1"/>
    <w:rsid w:val="001C55E8"/>
    <w:rsid w:val="001E1385"/>
    <w:rsid w:val="002203A3"/>
    <w:rsid w:val="00224C0B"/>
    <w:rsid w:val="00226D93"/>
    <w:rsid w:val="00232E6F"/>
    <w:rsid w:val="002A1AB5"/>
    <w:rsid w:val="002A3BEE"/>
    <w:rsid w:val="002C162F"/>
    <w:rsid w:val="002C16A1"/>
    <w:rsid w:val="00304719"/>
    <w:rsid w:val="003238B3"/>
    <w:rsid w:val="0036599D"/>
    <w:rsid w:val="00397A9C"/>
    <w:rsid w:val="003A7B70"/>
    <w:rsid w:val="003C42DD"/>
    <w:rsid w:val="00413869"/>
    <w:rsid w:val="00414602"/>
    <w:rsid w:val="00422B70"/>
    <w:rsid w:val="0044159A"/>
    <w:rsid w:val="00474538"/>
    <w:rsid w:val="004768DB"/>
    <w:rsid w:val="00493D23"/>
    <w:rsid w:val="00497D77"/>
    <w:rsid w:val="004A76A3"/>
    <w:rsid w:val="004B7B6D"/>
    <w:rsid w:val="004E0140"/>
    <w:rsid w:val="00543874"/>
    <w:rsid w:val="00545E95"/>
    <w:rsid w:val="005777FB"/>
    <w:rsid w:val="00583DCB"/>
    <w:rsid w:val="0060684A"/>
    <w:rsid w:val="00642117"/>
    <w:rsid w:val="00660C87"/>
    <w:rsid w:val="00663BD3"/>
    <w:rsid w:val="00692721"/>
    <w:rsid w:val="006E5598"/>
    <w:rsid w:val="00752142"/>
    <w:rsid w:val="0079199D"/>
    <w:rsid w:val="007B5E5F"/>
    <w:rsid w:val="007E3DD5"/>
    <w:rsid w:val="00820578"/>
    <w:rsid w:val="008243C3"/>
    <w:rsid w:val="008368A6"/>
    <w:rsid w:val="008635EE"/>
    <w:rsid w:val="00866125"/>
    <w:rsid w:val="008D025F"/>
    <w:rsid w:val="008D75FE"/>
    <w:rsid w:val="008E31C5"/>
    <w:rsid w:val="008F47F1"/>
    <w:rsid w:val="0091791C"/>
    <w:rsid w:val="0092539B"/>
    <w:rsid w:val="00925D1E"/>
    <w:rsid w:val="00932A68"/>
    <w:rsid w:val="009338B5"/>
    <w:rsid w:val="00935177"/>
    <w:rsid w:val="00944B87"/>
    <w:rsid w:val="009719B7"/>
    <w:rsid w:val="009745BA"/>
    <w:rsid w:val="00975E01"/>
    <w:rsid w:val="00991D76"/>
    <w:rsid w:val="009B331B"/>
    <w:rsid w:val="009C6235"/>
    <w:rsid w:val="00A03393"/>
    <w:rsid w:val="00A15A48"/>
    <w:rsid w:val="00A20AC2"/>
    <w:rsid w:val="00A35145"/>
    <w:rsid w:val="00A75048"/>
    <w:rsid w:val="00AB2ADF"/>
    <w:rsid w:val="00AD3EBB"/>
    <w:rsid w:val="00B02D3D"/>
    <w:rsid w:val="00B347D1"/>
    <w:rsid w:val="00B50FE0"/>
    <w:rsid w:val="00B60039"/>
    <w:rsid w:val="00B73A53"/>
    <w:rsid w:val="00BC2AAC"/>
    <w:rsid w:val="00C04358"/>
    <w:rsid w:val="00C115BC"/>
    <w:rsid w:val="00C12A83"/>
    <w:rsid w:val="00C520E3"/>
    <w:rsid w:val="00C91204"/>
    <w:rsid w:val="00CC0F8C"/>
    <w:rsid w:val="00CC3AD0"/>
    <w:rsid w:val="00CD0E95"/>
    <w:rsid w:val="00CF1761"/>
    <w:rsid w:val="00CF2779"/>
    <w:rsid w:val="00D150DD"/>
    <w:rsid w:val="00D52E7E"/>
    <w:rsid w:val="00D5761B"/>
    <w:rsid w:val="00DA66DB"/>
    <w:rsid w:val="00DA7C61"/>
    <w:rsid w:val="00DF21CE"/>
    <w:rsid w:val="00E14BFC"/>
    <w:rsid w:val="00E43B35"/>
    <w:rsid w:val="00E61EE5"/>
    <w:rsid w:val="00E64D91"/>
    <w:rsid w:val="00E84650"/>
    <w:rsid w:val="00ED0D20"/>
    <w:rsid w:val="00ED7A6F"/>
    <w:rsid w:val="00EE176B"/>
    <w:rsid w:val="00F1722D"/>
    <w:rsid w:val="00F350C2"/>
    <w:rsid w:val="00F7790E"/>
    <w:rsid w:val="00FA1BB6"/>
    <w:rsid w:val="00FA4A6A"/>
    <w:rsid w:val="00FB7185"/>
    <w:rsid w:val="00FC6617"/>
    <w:rsid w:val="00FF474D"/>
    <w:rsid w:val="02B8363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tr-TR" w:eastAsia="en-US" w:bidi="ar-SA"/>
    </w:rPr>
  </w:style>
  <w:style w:type="paragraph" w:styleId="2">
    <w:name w:val="heading 1"/>
    <w:basedOn w:val="1"/>
    <w:next w:val="1"/>
    <w:link w:val="15"/>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tr-TR"/>
    </w:rPr>
  </w:style>
  <w:style w:type="character" w:default="1" w:styleId="8">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8"/>
    <w:semiHidden/>
    <w:unhideWhenUsed/>
    <w:uiPriority w:val="99"/>
    <w:pPr>
      <w:spacing w:after="0" w:line="240" w:lineRule="auto"/>
    </w:pPr>
    <w:rPr>
      <w:rFonts w:ascii="Tahoma" w:hAnsi="Tahoma" w:cs="Tahoma"/>
      <w:sz w:val="16"/>
      <w:szCs w:val="16"/>
    </w:rPr>
  </w:style>
  <w:style w:type="paragraph" w:styleId="4">
    <w:name w:val="footer"/>
    <w:basedOn w:val="1"/>
    <w:link w:val="21"/>
    <w:unhideWhenUsed/>
    <w:uiPriority w:val="99"/>
    <w:pPr>
      <w:tabs>
        <w:tab w:val="center" w:pos="4536"/>
        <w:tab w:val="right" w:pos="9072"/>
      </w:tabs>
      <w:spacing w:after="0" w:line="240" w:lineRule="auto"/>
    </w:pPr>
  </w:style>
  <w:style w:type="paragraph" w:styleId="5">
    <w:name w:val="footnote text"/>
    <w:basedOn w:val="1"/>
    <w:link w:val="22"/>
    <w:semiHidden/>
    <w:qFormat/>
    <w:uiPriority w:val="99"/>
    <w:pPr>
      <w:spacing w:after="0" w:line="240" w:lineRule="auto"/>
    </w:pPr>
    <w:rPr>
      <w:rFonts w:ascii="Times New Roman" w:hAnsi="Times New Roman" w:eastAsia="Times New Roman" w:cs="Times New Roman"/>
      <w:sz w:val="20"/>
      <w:szCs w:val="20"/>
      <w:lang w:val="en-US"/>
    </w:rPr>
  </w:style>
  <w:style w:type="paragraph" w:styleId="6">
    <w:name w:val="header"/>
    <w:basedOn w:val="1"/>
    <w:link w:val="20"/>
    <w:unhideWhenUsed/>
    <w:uiPriority w:val="99"/>
    <w:pPr>
      <w:tabs>
        <w:tab w:val="center" w:pos="4536"/>
        <w:tab w:val="right" w:pos="9072"/>
      </w:tabs>
      <w:spacing w:after="0" w:line="240" w:lineRule="auto"/>
    </w:p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tr-TR"/>
    </w:rPr>
  </w:style>
  <w:style w:type="character" w:styleId="9">
    <w:name w:val="FollowedHyperlink"/>
    <w:basedOn w:val="8"/>
    <w:semiHidden/>
    <w:unhideWhenUsed/>
    <w:uiPriority w:val="99"/>
    <w:rPr>
      <w:color w:val="800080" w:themeColor="followedHyperlink"/>
      <w:u w:val="single"/>
      <w14:textFill>
        <w14:solidFill>
          <w14:schemeClr w14:val="folHlink"/>
        </w14:solidFill>
      </w14:textFill>
    </w:rPr>
  </w:style>
  <w:style w:type="character" w:styleId="10">
    <w:name w:val="footnote reference"/>
    <w:basedOn w:val="8"/>
    <w:semiHidden/>
    <w:qFormat/>
    <w:uiPriority w:val="99"/>
    <w:rPr>
      <w:vertAlign w:val="superscript"/>
    </w:rPr>
  </w:style>
  <w:style w:type="character" w:styleId="11">
    <w:name w:val="Hyperlink"/>
    <w:basedOn w:val="8"/>
    <w:unhideWhenUsed/>
    <w:uiPriority w:val="99"/>
    <w:rPr>
      <w:color w:val="0000FF"/>
      <w:u w:val="single"/>
    </w:rPr>
  </w:style>
  <w:style w:type="character" w:styleId="12">
    <w:name w:val="Strong"/>
    <w:basedOn w:val="8"/>
    <w:qFormat/>
    <w:uiPriority w:val="22"/>
    <w:rPr>
      <w:b/>
      <w:bCs/>
    </w:rPr>
  </w:style>
  <w:style w:type="table" w:styleId="14">
    <w:name w:val="Table Grid"/>
    <w:basedOn w:val="13"/>
    <w:qFormat/>
    <w:uiPriority w:val="59"/>
    <w:pPr>
      <w:spacing w:after="0" w:line="240" w:lineRule="auto"/>
    </w:pPr>
    <w:rPr>
      <w:rFonts w:ascii="Times New Roman" w:hAnsi="Times New Roman" w:eastAsia="Times New Roman" w:cs="Times New Roman"/>
      <w:sz w:val="20"/>
      <w:szCs w:val="20"/>
      <w:lang w:eastAsia="tr-T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Heading 1 Char"/>
    <w:basedOn w:val="8"/>
    <w:link w:val="2"/>
    <w:uiPriority w:val="9"/>
    <w:rPr>
      <w:rFonts w:ascii="Times New Roman" w:hAnsi="Times New Roman" w:eastAsia="Times New Roman" w:cs="Times New Roman"/>
      <w:b/>
      <w:bCs/>
      <w:kern w:val="36"/>
      <w:sz w:val="48"/>
      <w:szCs w:val="48"/>
      <w:lang w:eastAsia="tr-TR"/>
    </w:rPr>
  </w:style>
  <w:style w:type="character" w:customStyle="1" w:styleId="16">
    <w:name w:val="apple-converted-space"/>
    <w:basedOn w:val="8"/>
    <w:uiPriority w:val="0"/>
  </w:style>
  <w:style w:type="paragraph" w:styleId="17">
    <w:name w:val="List Paragraph"/>
    <w:basedOn w:val="1"/>
    <w:qFormat/>
    <w:uiPriority w:val="34"/>
    <w:pPr>
      <w:ind w:left="720"/>
      <w:contextualSpacing/>
    </w:pPr>
  </w:style>
  <w:style w:type="character" w:customStyle="1" w:styleId="18">
    <w:name w:val="Balloon Text Char"/>
    <w:basedOn w:val="8"/>
    <w:link w:val="3"/>
    <w:semiHidden/>
    <w:uiPriority w:val="99"/>
    <w:rPr>
      <w:rFonts w:ascii="Tahoma" w:hAnsi="Tahoma" w:cs="Tahoma"/>
      <w:sz w:val="16"/>
      <w:szCs w:val="16"/>
    </w:rPr>
  </w:style>
  <w:style w:type="paragraph" w:customStyle="1" w:styleId="19">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tr-TR" w:eastAsia="en-US" w:bidi="ar-SA"/>
    </w:rPr>
  </w:style>
  <w:style w:type="character" w:customStyle="1" w:styleId="20">
    <w:name w:val="Header Char"/>
    <w:basedOn w:val="8"/>
    <w:link w:val="6"/>
    <w:qFormat/>
    <w:uiPriority w:val="99"/>
  </w:style>
  <w:style w:type="character" w:customStyle="1" w:styleId="21">
    <w:name w:val="Footer Char"/>
    <w:basedOn w:val="8"/>
    <w:link w:val="4"/>
    <w:uiPriority w:val="99"/>
  </w:style>
  <w:style w:type="character" w:customStyle="1" w:styleId="22">
    <w:name w:val="Footnote Text Char"/>
    <w:basedOn w:val="8"/>
    <w:link w:val="5"/>
    <w:semiHidden/>
    <w:qFormat/>
    <w:uiPriority w:val="99"/>
    <w:rPr>
      <w:rFonts w:ascii="Times New Roman" w:hAnsi="Times New Roman" w:eastAsia="Times New Roman" w:cs="Times New Roman"/>
      <w:sz w:val="20"/>
      <w:szCs w:val="20"/>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891</Words>
  <Characters>5082</Characters>
  <Lines>42</Lines>
  <Paragraphs>11</Paragraphs>
  <TotalTime>15</TotalTime>
  <ScaleCrop>false</ScaleCrop>
  <LinksUpToDate>false</LinksUpToDate>
  <CharactersWithSpaces>5962</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2019-02-07T06:12:00Z</dcterms:created>
  <dc:creator>nazliaykan</dc:creator>
  <cp:lastModifiedBy>user</cp:lastModifiedBy>
  <cp:lastPrinted>2019-02-21T13:46:50Z</cp:lastPrinted>
  <dcterms:modified xsi:type="dcterms:W3CDTF">2019-02-21T13:47:14Z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